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Pr="00553DA2" w:rsidRDefault="002C04CA" w:rsidP="00553DA2">
      <w:pPr>
        <w:pStyle w:val="Akapitzlist"/>
        <w:ind w:left="928"/>
      </w:pPr>
      <w:r w:rsidRPr="00553DA2">
        <w:t>Zmiany wersja</w:t>
      </w:r>
      <w:r w:rsidR="00D8200B" w:rsidRPr="00553DA2">
        <w:t xml:space="preserve"> </w:t>
      </w:r>
      <w:r w:rsidR="00870CFA" w:rsidRPr="00553DA2">
        <w:t>4.17</w:t>
      </w:r>
      <w:r w:rsidR="00F55848" w:rsidRPr="00553DA2">
        <w:t>F</w:t>
      </w:r>
    </w:p>
    <w:p w:rsidR="006D362C" w:rsidRPr="00553DA2" w:rsidRDefault="006D362C" w:rsidP="00553DA2">
      <w:pPr>
        <w:pStyle w:val="Akapitzlist"/>
        <w:ind w:left="928"/>
      </w:pPr>
    </w:p>
    <w:p w:rsidR="00686FFB" w:rsidRPr="00553DA2" w:rsidRDefault="00686FFB" w:rsidP="00553DA2">
      <w:pPr>
        <w:pStyle w:val="Akapitzlist"/>
        <w:numPr>
          <w:ilvl w:val="0"/>
          <w:numId w:val="35"/>
        </w:numPr>
      </w:pPr>
      <w:r w:rsidRPr="00553DA2">
        <w:t xml:space="preserve">Usunięto opcję Drukuj w opcji zaległości. Raport drukowanie jest w programie </w:t>
      </w:r>
      <w:proofErr w:type="spellStart"/>
      <w:r w:rsidRPr="00553DA2">
        <w:t>PBaza</w:t>
      </w:r>
      <w:proofErr w:type="spellEnd"/>
      <w:r w:rsidRPr="00553DA2">
        <w:t xml:space="preserve"> standardowo dostępny w opcji Menu (lewy górny róg) działanie ma na celu standaryzacje wyglądu ekranu.</w:t>
      </w:r>
    </w:p>
    <w:p w:rsidR="00686FFB" w:rsidRPr="00553DA2" w:rsidRDefault="00686FFB" w:rsidP="00553DA2">
      <w:pPr>
        <w:pStyle w:val="Akapitzlist"/>
        <w:ind w:left="928"/>
      </w:pPr>
    </w:p>
    <w:p w:rsidR="00686FFB" w:rsidRPr="00553DA2" w:rsidRDefault="00686FFB" w:rsidP="00553DA2">
      <w:pPr>
        <w:pStyle w:val="Akapitzlist"/>
        <w:numPr>
          <w:ilvl w:val="0"/>
          <w:numId w:val="35"/>
        </w:numPr>
      </w:pPr>
      <w:r w:rsidRPr="00553DA2">
        <w:t>Wyłączono widok opcji Rejestr NPV i Raport pomocy publicznej dla firm obsługujących osoby fizyczne (opcje te nie mają zastosowania dla tych firm)</w:t>
      </w:r>
    </w:p>
    <w:p w:rsidR="00F06970" w:rsidRPr="00553DA2" w:rsidRDefault="00F06970" w:rsidP="00553DA2">
      <w:pPr>
        <w:pStyle w:val="Akapitzlist"/>
        <w:ind w:left="928"/>
      </w:pPr>
    </w:p>
    <w:p w:rsidR="00F06970" w:rsidRPr="00553DA2" w:rsidRDefault="00F06970" w:rsidP="00553DA2">
      <w:pPr>
        <w:pStyle w:val="Akapitzlist"/>
        <w:numPr>
          <w:ilvl w:val="0"/>
          <w:numId w:val="35"/>
        </w:numPr>
      </w:pPr>
      <w:r w:rsidRPr="00553DA2">
        <w:t>Zmieniono wygląd opcji Księgowość-&gt;Drukowanie faktur zmiana polega na usunięciu pól imię,</w:t>
      </w:r>
      <w:r w:rsidR="002249C0" w:rsidRPr="00553DA2">
        <w:t xml:space="preserve"> </w:t>
      </w:r>
      <w:r w:rsidRPr="00553DA2">
        <w:t>nazwisko,</w:t>
      </w:r>
      <w:r w:rsidR="002249C0" w:rsidRPr="00553DA2">
        <w:t xml:space="preserve"> </w:t>
      </w:r>
      <w:r w:rsidRPr="00553DA2">
        <w:t>nazwa firmy i zastąpienie je jednym polem nazwa firmy zmian ma na celu uproszczenie interfejsu klienta.</w:t>
      </w:r>
    </w:p>
    <w:p w:rsidR="00F06970" w:rsidRPr="00553DA2" w:rsidRDefault="00F06970" w:rsidP="00553DA2">
      <w:pPr>
        <w:pStyle w:val="Akapitzlist"/>
        <w:ind w:left="928"/>
      </w:pPr>
    </w:p>
    <w:p w:rsidR="00F06970" w:rsidRPr="00553DA2" w:rsidRDefault="00F06970" w:rsidP="00553DA2">
      <w:pPr>
        <w:pStyle w:val="Akapitzlist"/>
        <w:numPr>
          <w:ilvl w:val="0"/>
          <w:numId w:val="35"/>
        </w:numPr>
      </w:pPr>
      <w:r w:rsidRPr="00553DA2">
        <w:t>Przyśpieszono otwieranie okna karta umowy w zaległościach (dwa kliknięcia na zaległości klienta)</w:t>
      </w:r>
    </w:p>
    <w:p w:rsidR="00F06970" w:rsidRPr="00553DA2" w:rsidRDefault="00F06970" w:rsidP="00553DA2">
      <w:pPr>
        <w:pStyle w:val="Akapitzlist"/>
        <w:ind w:left="928"/>
      </w:pPr>
    </w:p>
    <w:p w:rsidR="00F06970" w:rsidRDefault="00F06970" w:rsidP="00553DA2">
      <w:pPr>
        <w:pStyle w:val="Akapitzlist"/>
        <w:numPr>
          <w:ilvl w:val="0"/>
          <w:numId w:val="35"/>
        </w:numPr>
      </w:pPr>
      <w:r w:rsidRPr="00553DA2">
        <w:t>Uproszczono interfej</w:t>
      </w:r>
      <w:r w:rsidR="002249C0" w:rsidRPr="00553DA2">
        <w:t>s</w:t>
      </w:r>
      <w:r w:rsidRPr="00553DA2">
        <w:t xml:space="preserve"> dodawania praw dla operatora przenosząc opcje dostępne pod prawym klawiszem myszki na prawą stronę ekranu, </w:t>
      </w:r>
      <w:proofErr w:type="gramStart"/>
      <w:r w:rsidRPr="00553DA2">
        <w:t>tak aby</w:t>
      </w:r>
      <w:proofErr w:type="gramEnd"/>
      <w:r w:rsidRPr="00553DA2">
        <w:t xml:space="preserve"> funkcjonalność była widoczna zaraz po otwarciu okna. Zmieniono również funkcjonalność opcji „Dodaj wszystkie prawa” opcja dodaje wszystkie prawa prócz trzech </w:t>
      </w:r>
      <w:proofErr w:type="gramStart"/>
      <w:r w:rsidRPr="00553DA2">
        <w:t>praw</w:t>
      </w:r>
      <w:proofErr w:type="gramEnd"/>
      <w:r w:rsidRPr="00553DA2">
        <w:t xml:space="preserve"> zawężających</w:t>
      </w:r>
    </w:p>
    <w:p w:rsidR="00A63A93" w:rsidRDefault="00A63A93" w:rsidP="00A63A93">
      <w:pPr>
        <w:pStyle w:val="Akapitzlist"/>
      </w:pPr>
    </w:p>
    <w:p w:rsidR="00A63A93" w:rsidRPr="00553DA2" w:rsidRDefault="00A63A93" w:rsidP="00A63A93">
      <w:pPr>
        <w:pStyle w:val="Akapitzlist"/>
        <w:ind w:left="928"/>
      </w:pPr>
      <w:bookmarkStart w:id="0" w:name="_GoBack"/>
      <w:bookmarkEnd w:id="0"/>
    </w:p>
    <w:p w:rsidR="00F06970" w:rsidRPr="00553DA2" w:rsidRDefault="00F06970" w:rsidP="00553DA2">
      <w:pPr>
        <w:pStyle w:val="Akapitzlist"/>
        <w:numPr>
          <w:ilvl w:val="0"/>
          <w:numId w:val="43"/>
        </w:numPr>
      </w:pPr>
      <w:r w:rsidRPr="00553DA2">
        <w:t>Operator widzi tylko swoje umowy</w:t>
      </w:r>
    </w:p>
    <w:p w:rsidR="00F06970" w:rsidRPr="00553DA2" w:rsidRDefault="00F06970" w:rsidP="00553DA2">
      <w:pPr>
        <w:pStyle w:val="Akapitzlist"/>
        <w:numPr>
          <w:ilvl w:val="0"/>
          <w:numId w:val="43"/>
        </w:numPr>
      </w:pPr>
      <w:r w:rsidRPr="00553DA2">
        <w:t>Pośrednik widzi tylko swoje umowy</w:t>
      </w:r>
    </w:p>
    <w:p w:rsidR="00F06970" w:rsidRPr="00553DA2" w:rsidRDefault="00F06970" w:rsidP="00553DA2">
      <w:pPr>
        <w:pStyle w:val="Akapitzlist"/>
        <w:numPr>
          <w:ilvl w:val="0"/>
          <w:numId w:val="43"/>
        </w:numPr>
      </w:pPr>
      <w:r w:rsidRPr="00553DA2">
        <w:t>Operator widzi tylko umowy swojego oddziału</w:t>
      </w:r>
    </w:p>
    <w:p w:rsidR="00F06970" w:rsidRPr="00553DA2" w:rsidRDefault="00F06970" w:rsidP="00553DA2">
      <w:pPr>
        <w:pStyle w:val="Akapitzlist"/>
        <w:ind w:left="928"/>
      </w:pPr>
    </w:p>
    <w:p w:rsidR="00F06970" w:rsidRPr="00553DA2" w:rsidRDefault="00F06970" w:rsidP="00A63A93">
      <w:pPr>
        <w:pStyle w:val="Akapitzlist"/>
        <w:ind w:left="928"/>
      </w:pPr>
    </w:p>
    <w:p w:rsidR="00F06970" w:rsidRPr="00553DA2" w:rsidRDefault="00F06970" w:rsidP="00553DA2">
      <w:pPr>
        <w:pStyle w:val="Akapitzlist"/>
        <w:ind w:left="928"/>
      </w:pPr>
      <w:r w:rsidRPr="00553DA2">
        <w:rPr>
          <w:noProof/>
          <w:lang w:eastAsia="pl-PL"/>
        </w:rPr>
        <w:drawing>
          <wp:inline distT="0" distB="0" distL="0" distR="0" wp14:anchorId="58B3BC6B" wp14:editId="0250384E">
            <wp:extent cx="5762625" cy="2619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70" w:rsidRPr="00553DA2" w:rsidRDefault="00AE65A9" w:rsidP="00553DA2">
      <w:pPr>
        <w:pStyle w:val="Akapitzlist"/>
        <w:numPr>
          <w:ilvl w:val="0"/>
          <w:numId w:val="35"/>
        </w:numPr>
      </w:pPr>
      <w:r w:rsidRPr="00553DA2">
        <w:t>Zmiana w raporcie spłat. Zmiana polega na rozdzieleniu kolumny spłata odsetek umownych na dwie kolumny spłata odsetek umownych terminowych oraz spłata odsetek umownych zaległych</w:t>
      </w:r>
    </w:p>
    <w:p w:rsidR="000D0A3A" w:rsidRPr="00553DA2" w:rsidRDefault="000D0A3A" w:rsidP="00553DA2">
      <w:pPr>
        <w:pStyle w:val="Akapitzlist"/>
        <w:ind w:left="928"/>
      </w:pPr>
    </w:p>
    <w:p w:rsidR="00AE65A9" w:rsidRDefault="00AE65A9" w:rsidP="00553DA2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553DA2">
        <w:lastRenderedPageBreak/>
        <w:t xml:space="preserve"> </w:t>
      </w:r>
      <w:r w:rsidR="000D0A3A" w:rsidRPr="00553DA2">
        <w:t>Zmiana w historii transferów</w:t>
      </w:r>
      <w:r w:rsidR="000D0A3A">
        <w:rPr>
          <w:sz w:val="24"/>
          <w:szCs w:val="24"/>
        </w:rPr>
        <w:t xml:space="preserve"> pośredników. W historii dodano pole kierownik.</w:t>
      </w:r>
    </w:p>
    <w:p w:rsidR="002249C0" w:rsidRPr="002249C0" w:rsidRDefault="002249C0" w:rsidP="002249C0">
      <w:pPr>
        <w:pStyle w:val="Akapitzlist"/>
        <w:rPr>
          <w:sz w:val="24"/>
          <w:szCs w:val="24"/>
        </w:rPr>
      </w:pPr>
    </w:p>
    <w:p w:rsidR="00553DA2" w:rsidRDefault="00553DA2" w:rsidP="00553DA2">
      <w:pPr>
        <w:pStyle w:val="Akapitzlist"/>
        <w:numPr>
          <w:ilvl w:val="0"/>
          <w:numId w:val="35"/>
        </w:numPr>
      </w:pPr>
      <w:r>
        <w:t xml:space="preserve">Umożliwiono sumowanie kwot </w:t>
      </w:r>
      <w:proofErr w:type="spellStart"/>
      <w:r>
        <w:t>Wn</w:t>
      </w:r>
      <w:proofErr w:type="spellEnd"/>
      <w:r>
        <w:t xml:space="preserve"> oraz Ma w Dekretach pod przyciskiem widocznym na rysunku poniżej</w:t>
      </w:r>
    </w:p>
    <w:p w:rsidR="00553DA2" w:rsidRDefault="00553DA2" w:rsidP="00553DA2">
      <w:pPr>
        <w:pStyle w:val="Akapitzlist"/>
      </w:pPr>
    </w:p>
    <w:p w:rsidR="00553DA2" w:rsidRDefault="00553DA2" w:rsidP="00553DA2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 wp14:anchorId="5B3480B1" wp14:editId="0839EE88">
            <wp:extent cx="4208145" cy="3543300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A2" w:rsidRDefault="00553DA2" w:rsidP="00553DA2">
      <w:pPr>
        <w:ind w:left="360"/>
        <w:jc w:val="center"/>
      </w:pPr>
    </w:p>
    <w:p w:rsidR="00553DA2" w:rsidRDefault="00553DA2" w:rsidP="00553DA2">
      <w:pPr>
        <w:pStyle w:val="Akapitzlist"/>
        <w:numPr>
          <w:ilvl w:val="0"/>
          <w:numId w:val="35"/>
        </w:numPr>
      </w:pPr>
      <w:r>
        <w:t>W Rejestrze Pomocy publicznej (opcja w Umowach Info, lewy górny róg, menu</w:t>
      </w:r>
      <w:r>
        <w:sym w:font="Wingdings" w:char="F0E0"/>
      </w:r>
      <w:r>
        <w:t>Pomoc Publiczna) dodano dodatkowe kolumny takie jak:</w:t>
      </w:r>
    </w:p>
    <w:p w:rsidR="00553DA2" w:rsidRDefault="00553DA2" w:rsidP="00553DA2">
      <w:pPr>
        <w:pStyle w:val="Akapitzlist"/>
        <w:numPr>
          <w:ilvl w:val="0"/>
          <w:numId w:val="40"/>
        </w:numPr>
      </w:pPr>
      <w:r>
        <w:t>Oprocentowanie pożyczki,</w:t>
      </w:r>
    </w:p>
    <w:p w:rsidR="00553DA2" w:rsidRDefault="00553DA2" w:rsidP="00553DA2">
      <w:pPr>
        <w:pStyle w:val="Akapitzlist"/>
        <w:numPr>
          <w:ilvl w:val="0"/>
          <w:numId w:val="40"/>
        </w:numPr>
      </w:pPr>
      <w:r>
        <w:t>Stopa referencyjna UE.</w:t>
      </w:r>
    </w:p>
    <w:p w:rsidR="00553DA2" w:rsidRDefault="00553DA2" w:rsidP="00553DA2">
      <w:pPr>
        <w:pStyle w:val="Akapitzlist"/>
        <w:numPr>
          <w:ilvl w:val="0"/>
          <w:numId w:val="40"/>
        </w:numPr>
      </w:pPr>
      <w:r>
        <w:t>Data wyliczenia danej pomocy publicznej</w:t>
      </w:r>
    </w:p>
    <w:p w:rsidR="00553DA2" w:rsidRDefault="00553DA2" w:rsidP="00553DA2">
      <w:pPr>
        <w:pStyle w:val="Akapitzlist"/>
        <w:numPr>
          <w:ilvl w:val="0"/>
          <w:numId w:val="40"/>
        </w:numPr>
      </w:pPr>
      <w:proofErr w:type="gramStart"/>
      <w:r>
        <w:t>Metoda według jakiej</w:t>
      </w:r>
      <w:proofErr w:type="gramEnd"/>
      <w:r>
        <w:t xml:space="preserve"> pomoc została wyliczona</w:t>
      </w:r>
    </w:p>
    <w:p w:rsidR="00553DA2" w:rsidRDefault="00553DA2" w:rsidP="00553DA2">
      <w:pPr>
        <w:pStyle w:val="Akapitzlist"/>
        <w:numPr>
          <w:ilvl w:val="0"/>
          <w:numId w:val="40"/>
        </w:numPr>
      </w:pPr>
      <w:r>
        <w:t>Data podpisania umowy pożyczkowej,</w:t>
      </w:r>
    </w:p>
    <w:p w:rsidR="00553DA2" w:rsidRDefault="00553DA2" w:rsidP="00553DA2">
      <w:pPr>
        <w:ind w:left="708"/>
      </w:pPr>
      <w:r>
        <w:t>Z racji ochrony danych osobowych kolumna klient została zakryta</w:t>
      </w:r>
    </w:p>
    <w:p w:rsidR="00553DA2" w:rsidRDefault="00553DA2" w:rsidP="00553DA2">
      <w:r>
        <w:rPr>
          <w:noProof/>
          <w:lang w:eastAsia="pl-PL"/>
        </w:rPr>
        <w:lastRenderedPageBreak/>
        <w:drawing>
          <wp:inline distT="0" distB="0" distL="0" distR="0" wp14:anchorId="640526EE" wp14:editId="34B36136">
            <wp:extent cx="5753100" cy="2286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A2" w:rsidRDefault="00553DA2" w:rsidP="00553DA2"/>
    <w:p w:rsidR="00553DA2" w:rsidRDefault="00553DA2" w:rsidP="00553DA2">
      <w:pPr>
        <w:pStyle w:val="Akapitzlist"/>
        <w:numPr>
          <w:ilvl w:val="0"/>
          <w:numId w:val="35"/>
        </w:numPr>
      </w:pPr>
      <w:r>
        <w:t xml:space="preserve">W Zaległości pod prawym </w:t>
      </w:r>
      <w:proofErr w:type="gramStart"/>
      <w:r>
        <w:t>klawiszem</w:t>
      </w:r>
      <w:proofErr w:type="gramEnd"/>
      <w:r>
        <w:t xml:space="preserve"> myszy w Opcji</w:t>
      </w:r>
      <w:r>
        <w:rPr>
          <w:b/>
        </w:rPr>
        <w:t xml:space="preserve"> Wykaz umów po ugodzie </w:t>
      </w:r>
      <w:r>
        <w:t>znajduje się rejestr umów, na których podpisano ugodę. Mamy tu takie dane jak: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Nr (</w:t>
      </w:r>
      <w:proofErr w:type="spellStart"/>
      <w:r>
        <w:t>Lp</w:t>
      </w:r>
      <w:proofErr w:type="spellEnd"/>
      <w:r>
        <w:t>)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Id Umowy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Pośrednik umowy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Klient (Nawa klienta)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Zaległość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Wpłata (ile wpłacono o momentu zwarcia ugody)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Ile oczek. Wpłat – ile jest oczekiwanych wpłat do daty księgowania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Ile TAK – ile wpłat dokonano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Ile NIE – ile wpłat nie dokonano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Przewaga – Czy występuje przewaga dokonanych wpłat nad niedokonanymi</w:t>
      </w:r>
    </w:p>
    <w:p w:rsidR="00553DA2" w:rsidRDefault="00553DA2" w:rsidP="00553DA2">
      <w:pPr>
        <w:pStyle w:val="Akapitzlist"/>
        <w:numPr>
          <w:ilvl w:val="0"/>
          <w:numId w:val="41"/>
        </w:numPr>
      </w:pPr>
      <w:r>
        <w:t>PÓŻNIEJ – ile wpłat występuje po dacie księgowania</w:t>
      </w:r>
    </w:p>
    <w:p w:rsidR="00553DA2" w:rsidRDefault="00553DA2" w:rsidP="00553DA2"/>
    <w:p w:rsidR="00553DA2" w:rsidRDefault="00553DA2" w:rsidP="00553DA2">
      <w:r>
        <w:rPr>
          <w:noProof/>
          <w:lang w:eastAsia="pl-PL"/>
        </w:rPr>
        <w:drawing>
          <wp:inline distT="0" distB="0" distL="0" distR="0" wp14:anchorId="51374133" wp14:editId="4FCD2AF3">
            <wp:extent cx="5756275" cy="29095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A2" w:rsidRDefault="00553DA2" w:rsidP="00553DA2"/>
    <w:p w:rsidR="00553DA2" w:rsidRDefault="00553DA2" w:rsidP="00553DA2">
      <w:pPr>
        <w:pStyle w:val="Akapitzlist"/>
        <w:numPr>
          <w:ilvl w:val="0"/>
          <w:numId w:val="35"/>
        </w:numPr>
      </w:pPr>
      <w:r>
        <w:t>Zmodyfikowano eksport danych do portalu KPFP (Krajowy Portal Funduszy Pożyczkowych)</w:t>
      </w:r>
    </w:p>
    <w:p w:rsidR="00553DA2" w:rsidRDefault="00553DA2" w:rsidP="00553DA2">
      <w:pPr>
        <w:pStyle w:val="Akapitzlist"/>
      </w:pPr>
      <w:r>
        <w:t>Opcja w menu Baza</w:t>
      </w:r>
      <w:r>
        <w:sym w:font="Wingdings" w:char="F0E0"/>
      </w:r>
      <w:r>
        <w:t>Administrator</w:t>
      </w:r>
      <w:r>
        <w:sym w:font="Wingdings" w:char="F0E0"/>
      </w:r>
      <w:r>
        <w:t>Eksport Danych do KPFP</w:t>
      </w:r>
    </w:p>
    <w:p w:rsidR="00553DA2" w:rsidRDefault="00553DA2" w:rsidP="00553DA2">
      <w:pPr>
        <w:pStyle w:val="Akapitzlist"/>
      </w:pPr>
    </w:p>
    <w:p w:rsidR="00553DA2" w:rsidRDefault="00553DA2" w:rsidP="00553DA2">
      <w:pPr>
        <w:pStyle w:val="Akapitzlist"/>
      </w:pPr>
      <w:r>
        <w:t>Mamy tu możliwość eksportu umów z określonego zakresu dat podpisania lub dat ostatniego przeliczenia umów</w:t>
      </w:r>
    </w:p>
    <w:p w:rsidR="00553DA2" w:rsidRDefault="00553DA2" w:rsidP="00553DA2">
      <w:pPr>
        <w:pStyle w:val="Akapitzlist"/>
      </w:pPr>
    </w:p>
    <w:p w:rsidR="00553DA2" w:rsidRDefault="00553DA2" w:rsidP="00553DA2">
      <w:pPr>
        <w:pStyle w:val="Akapitzlist"/>
      </w:pPr>
      <w:proofErr w:type="gramStart"/>
      <w:r>
        <w:t>Dane jakie</w:t>
      </w:r>
      <w:proofErr w:type="gramEnd"/>
      <w:r>
        <w:t xml:space="preserve"> można eksportować to:</w:t>
      </w:r>
    </w:p>
    <w:p w:rsidR="00553DA2" w:rsidRDefault="00553DA2" w:rsidP="00553DA2">
      <w:pPr>
        <w:pStyle w:val="Akapitzlist"/>
        <w:numPr>
          <w:ilvl w:val="0"/>
          <w:numId w:val="42"/>
        </w:numPr>
      </w:pPr>
      <w:r>
        <w:t>Dane umów wraz z saldem</w:t>
      </w:r>
    </w:p>
    <w:p w:rsidR="00553DA2" w:rsidRDefault="00553DA2" w:rsidP="00553DA2">
      <w:pPr>
        <w:pStyle w:val="Akapitzlist"/>
        <w:numPr>
          <w:ilvl w:val="0"/>
          <w:numId w:val="42"/>
        </w:numPr>
      </w:pPr>
      <w:r>
        <w:t>Terminarze</w:t>
      </w:r>
    </w:p>
    <w:p w:rsidR="00553DA2" w:rsidRDefault="00553DA2" w:rsidP="00553DA2">
      <w:pPr>
        <w:pStyle w:val="Akapitzlist"/>
        <w:numPr>
          <w:ilvl w:val="0"/>
          <w:numId w:val="42"/>
        </w:numPr>
      </w:pPr>
      <w:r>
        <w:t>Spłaty</w:t>
      </w:r>
    </w:p>
    <w:p w:rsidR="00553DA2" w:rsidRDefault="00553DA2" w:rsidP="00553DA2">
      <w:pPr>
        <w:pStyle w:val="Akapitzlist"/>
        <w:numPr>
          <w:ilvl w:val="0"/>
          <w:numId w:val="42"/>
        </w:numPr>
      </w:pPr>
      <w:r>
        <w:t>Użytkownicy (Stworzenie kont danych klientów na portalu)</w:t>
      </w:r>
    </w:p>
    <w:p w:rsidR="00553DA2" w:rsidRDefault="00553DA2" w:rsidP="00553DA2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FEA8738" wp14:editId="1352722C">
            <wp:extent cx="5314950" cy="3581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A2" w:rsidRDefault="00553DA2" w:rsidP="00553DA2">
      <w:pPr>
        <w:jc w:val="center"/>
        <w:rPr>
          <w:b/>
        </w:rPr>
      </w:pPr>
    </w:p>
    <w:p w:rsidR="00553DA2" w:rsidRDefault="00553DA2" w:rsidP="00553DA2">
      <w:pPr>
        <w:pStyle w:val="Akapitzlist"/>
        <w:numPr>
          <w:ilvl w:val="0"/>
          <w:numId w:val="35"/>
        </w:numPr>
      </w:pPr>
      <w:r>
        <w:t>Udostępniono nową kartę umowy (dostępną również dla terminarza dynamicznego)</w:t>
      </w:r>
    </w:p>
    <w:p w:rsidR="00553DA2" w:rsidRDefault="00553DA2" w:rsidP="00553DA2">
      <w:pPr>
        <w:ind w:left="708"/>
      </w:pPr>
      <w:r>
        <w:t xml:space="preserve">Jest ona dostępna pod prawym </w:t>
      </w:r>
      <w:proofErr w:type="gramStart"/>
      <w:r>
        <w:t>klawiszem</w:t>
      </w:r>
      <w:proofErr w:type="gramEnd"/>
      <w:r>
        <w:t xml:space="preserve"> myszy w Umowach Info</w:t>
      </w:r>
    </w:p>
    <w:p w:rsidR="00553DA2" w:rsidRDefault="00553DA2" w:rsidP="00553DA2">
      <w:pPr>
        <w:ind w:left="708"/>
      </w:pPr>
      <w:r>
        <w:t>Mamy tu widoczne dane Pożyczkobiorcy wraz z jego adresami. Możliwe jest wykonywanie połączeń telefonicznych wychodzących w stronę klienta. Przy każdym numerze telefonu klienta widnieje przycisk do połączenia.</w:t>
      </w:r>
    </w:p>
    <w:p w:rsidR="00553DA2" w:rsidRDefault="00553DA2" w:rsidP="00553DA2">
      <w:pPr>
        <w:ind w:left="708"/>
      </w:pPr>
      <w:r>
        <w:t>Możemy tu podejrzeć informacje o umowie min:</w:t>
      </w:r>
    </w:p>
    <w:p w:rsidR="00553DA2" w:rsidRDefault="00553DA2" w:rsidP="00553DA2">
      <w:pPr>
        <w:ind w:left="708"/>
      </w:pPr>
      <w:r>
        <w:t>- Zobowiązanie aktualne,</w:t>
      </w:r>
    </w:p>
    <w:p w:rsidR="00553DA2" w:rsidRDefault="00553DA2" w:rsidP="00553DA2">
      <w:pPr>
        <w:ind w:left="708"/>
      </w:pPr>
      <w:r>
        <w:t>- Łączne zobowiązanie,</w:t>
      </w:r>
    </w:p>
    <w:p w:rsidR="00553DA2" w:rsidRDefault="00553DA2" w:rsidP="00553DA2">
      <w:pPr>
        <w:ind w:left="708"/>
      </w:pPr>
      <w:r>
        <w:lastRenderedPageBreak/>
        <w:t>- Ostatnią wpłatę,</w:t>
      </w:r>
    </w:p>
    <w:p w:rsidR="00553DA2" w:rsidRDefault="00553DA2" w:rsidP="00553DA2">
      <w:pPr>
        <w:ind w:left="708"/>
      </w:pPr>
      <w:r>
        <w:t>- Najbliższą ratę kapitałową,</w:t>
      </w:r>
    </w:p>
    <w:p w:rsidR="00553DA2" w:rsidRDefault="00553DA2" w:rsidP="00553DA2">
      <w:pPr>
        <w:ind w:left="708"/>
      </w:pPr>
      <w:r>
        <w:t>- Opiekuna pożyczki,</w:t>
      </w:r>
    </w:p>
    <w:p w:rsidR="00553DA2" w:rsidRDefault="00553DA2" w:rsidP="00553DA2">
      <w:pPr>
        <w:ind w:left="708"/>
      </w:pPr>
      <w:r>
        <w:t>- Aktualną czynność windykacyjną,</w:t>
      </w:r>
    </w:p>
    <w:p w:rsidR="00553DA2" w:rsidRDefault="00553DA2" w:rsidP="00553DA2">
      <w:r>
        <w:rPr>
          <w:noProof/>
          <w:lang w:eastAsia="pl-PL"/>
        </w:rPr>
        <w:drawing>
          <wp:inline distT="0" distB="0" distL="0" distR="0" wp14:anchorId="6448A923" wp14:editId="528D91DC">
            <wp:extent cx="5759450" cy="2908300"/>
            <wp:effectExtent l="0" t="0" r="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A2" w:rsidRDefault="00553DA2" w:rsidP="00553DA2">
      <w:r>
        <w:t xml:space="preserve">Na kolejnych zakładkach mamy informacje o wszystkich poręczycielach oraz podgląd na inne umowy pożyczkobiorcy. Gdzie możemy podglądać kontakty oraz spłaty danych </w:t>
      </w:r>
      <w:proofErr w:type="gramStart"/>
      <w:r>
        <w:t>umów.</w:t>
      </w:r>
      <w:proofErr w:type="gramEnd"/>
    </w:p>
    <w:p w:rsidR="00553DA2" w:rsidRDefault="00553DA2" w:rsidP="00553DA2">
      <w:r>
        <w:t xml:space="preserve">Z karty umowy możemy szybko </w:t>
      </w:r>
      <w:proofErr w:type="gramStart"/>
      <w:r>
        <w:t>podejrzeć :</w:t>
      </w:r>
      <w:proofErr w:type="gramEnd"/>
    </w:p>
    <w:p w:rsidR="00553DA2" w:rsidRDefault="00553DA2" w:rsidP="00553DA2">
      <w:r>
        <w:t>- Szczegółowe dane klienta,</w:t>
      </w:r>
    </w:p>
    <w:p w:rsidR="00553DA2" w:rsidRDefault="00553DA2" w:rsidP="00553DA2">
      <w:r>
        <w:t>- Dane umowy,</w:t>
      </w:r>
    </w:p>
    <w:p w:rsidR="00553DA2" w:rsidRDefault="00553DA2" w:rsidP="00553DA2">
      <w:r>
        <w:t>- wejść w Spłatę,</w:t>
      </w:r>
    </w:p>
    <w:p w:rsidR="00553DA2" w:rsidRDefault="00553DA2" w:rsidP="00553DA2">
      <w:r>
        <w:t>- Korespondencję,</w:t>
      </w:r>
    </w:p>
    <w:p w:rsidR="00553DA2" w:rsidRDefault="00553DA2" w:rsidP="00553DA2">
      <w:r>
        <w:t>- Terminarz rat,</w:t>
      </w:r>
    </w:p>
    <w:p w:rsidR="00553DA2" w:rsidRDefault="00553DA2" w:rsidP="00553DA2">
      <w:r>
        <w:t>- Dekrety,</w:t>
      </w:r>
    </w:p>
    <w:p w:rsidR="00553DA2" w:rsidRDefault="00553DA2" w:rsidP="00553DA2">
      <w:r>
        <w:t>- Załączniki</w:t>
      </w:r>
    </w:p>
    <w:p w:rsidR="00553DA2" w:rsidRDefault="00553DA2" w:rsidP="00553DA2">
      <w:r>
        <w:t>- wysłać SMS, Email, Wezwanie</w:t>
      </w:r>
    </w:p>
    <w:p w:rsidR="00553DA2" w:rsidRPr="00520FAC" w:rsidRDefault="00553DA2" w:rsidP="00553DA2">
      <w:r>
        <w:t>Za pomocą przycisków po prawej stronie umowy.</w:t>
      </w:r>
    </w:p>
    <w:p w:rsidR="002249C0" w:rsidRPr="00AE65A9" w:rsidRDefault="002249C0" w:rsidP="00686FFB">
      <w:pPr>
        <w:pStyle w:val="Akapitzlist"/>
        <w:numPr>
          <w:ilvl w:val="0"/>
          <w:numId w:val="36"/>
        </w:numPr>
        <w:rPr>
          <w:sz w:val="24"/>
          <w:szCs w:val="24"/>
        </w:rPr>
      </w:pPr>
    </w:p>
    <w:p w:rsidR="004B420D" w:rsidRDefault="00941E55" w:rsidP="000D0A3A">
      <w:pPr>
        <w:pStyle w:val="Akapitzlist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0A3A" w:rsidRPr="002249C0" w:rsidRDefault="000D0A3A" w:rsidP="002249C0">
      <w:pPr>
        <w:rPr>
          <w:sz w:val="24"/>
          <w:szCs w:val="24"/>
        </w:rPr>
      </w:pPr>
    </w:p>
    <w:p w:rsidR="004B1AA1" w:rsidRPr="00862CC2" w:rsidRDefault="004B1AA1" w:rsidP="004B1AA1">
      <w:pPr>
        <w:pStyle w:val="Akapitzlist"/>
        <w:rPr>
          <w:b/>
        </w:rPr>
      </w:pPr>
      <w:r w:rsidRPr="00862CC2">
        <w:rPr>
          <w:b/>
        </w:rPr>
        <w:lastRenderedPageBreak/>
        <w:t>Informacja do instalacji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62" w:rsidRDefault="00EE6162" w:rsidP="004825D0">
      <w:pPr>
        <w:spacing w:after="0" w:line="240" w:lineRule="auto"/>
      </w:pPr>
      <w:r>
        <w:separator/>
      </w:r>
    </w:p>
  </w:endnote>
  <w:endnote w:type="continuationSeparator" w:id="0">
    <w:p w:rsidR="00EE6162" w:rsidRDefault="00EE6162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62" w:rsidRDefault="00EE6162" w:rsidP="004825D0">
      <w:pPr>
        <w:spacing w:after="0" w:line="240" w:lineRule="auto"/>
      </w:pPr>
      <w:r>
        <w:separator/>
      </w:r>
    </w:p>
  </w:footnote>
  <w:footnote w:type="continuationSeparator" w:id="0">
    <w:p w:rsidR="00EE6162" w:rsidRDefault="00EE6162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864399"/>
    <w:multiLevelType w:val="hybridMultilevel"/>
    <w:tmpl w:val="0902E9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DE5A6A"/>
    <w:multiLevelType w:val="hybridMultilevel"/>
    <w:tmpl w:val="6F822640"/>
    <w:lvl w:ilvl="0" w:tplc="D5444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D1E07"/>
    <w:multiLevelType w:val="hybridMultilevel"/>
    <w:tmpl w:val="35F095B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4713A"/>
    <w:multiLevelType w:val="hybridMultilevel"/>
    <w:tmpl w:val="696856C6"/>
    <w:lvl w:ilvl="0" w:tplc="88127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1F6031"/>
    <w:multiLevelType w:val="hybridMultilevel"/>
    <w:tmpl w:val="2528F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337E1"/>
    <w:multiLevelType w:val="hybridMultilevel"/>
    <w:tmpl w:val="569C279C"/>
    <w:lvl w:ilvl="0" w:tplc="E08E4C50">
      <w:start w:val="1"/>
      <w:numFmt w:val="decimal"/>
      <w:lvlText w:val="%1."/>
      <w:lvlJc w:val="left"/>
      <w:pPr>
        <w:ind w:left="1353" w:hanging="360"/>
      </w:pPr>
      <w:rPr>
        <w:color w:val="000000" w:themeColor="text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9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0">
    <w:nsid w:val="767376C2"/>
    <w:multiLevelType w:val="hybridMultilevel"/>
    <w:tmpl w:val="8A6E2DB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CB103B"/>
    <w:multiLevelType w:val="hybridMultilevel"/>
    <w:tmpl w:val="801C5664"/>
    <w:lvl w:ilvl="0" w:tplc="19123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38"/>
  </w:num>
  <w:num w:numId="4">
    <w:abstractNumId w:val="25"/>
  </w:num>
  <w:num w:numId="5">
    <w:abstractNumId w:val="31"/>
  </w:num>
  <w:num w:numId="6">
    <w:abstractNumId w:val="11"/>
  </w:num>
  <w:num w:numId="7">
    <w:abstractNumId w:val="35"/>
  </w:num>
  <w:num w:numId="8">
    <w:abstractNumId w:val="16"/>
  </w:num>
  <w:num w:numId="9">
    <w:abstractNumId w:val="4"/>
  </w:num>
  <w:num w:numId="10">
    <w:abstractNumId w:val="14"/>
  </w:num>
  <w:num w:numId="11">
    <w:abstractNumId w:val="42"/>
  </w:num>
  <w:num w:numId="12">
    <w:abstractNumId w:val="36"/>
  </w:num>
  <w:num w:numId="13">
    <w:abstractNumId w:val="27"/>
  </w:num>
  <w:num w:numId="14">
    <w:abstractNumId w:val="9"/>
  </w:num>
  <w:num w:numId="15">
    <w:abstractNumId w:val="21"/>
  </w:num>
  <w:num w:numId="16">
    <w:abstractNumId w:val="32"/>
  </w:num>
  <w:num w:numId="17">
    <w:abstractNumId w:val="6"/>
  </w:num>
  <w:num w:numId="18">
    <w:abstractNumId w:val="23"/>
  </w:num>
  <w:num w:numId="19">
    <w:abstractNumId w:val="33"/>
  </w:num>
  <w:num w:numId="20">
    <w:abstractNumId w:val="19"/>
  </w:num>
  <w:num w:numId="21">
    <w:abstractNumId w:val="39"/>
  </w:num>
  <w:num w:numId="22">
    <w:abstractNumId w:val="13"/>
  </w:num>
  <w:num w:numId="23">
    <w:abstractNumId w:val="24"/>
  </w:num>
  <w:num w:numId="24">
    <w:abstractNumId w:val="2"/>
  </w:num>
  <w:num w:numId="25">
    <w:abstractNumId w:val="3"/>
  </w:num>
  <w:num w:numId="26">
    <w:abstractNumId w:val="28"/>
  </w:num>
  <w:num w:numId="27">
    <w:abstractNumId w:val="37"/>
  </w:num>
  <w:num w:numId="28">
    <w:abstractNumId w:val="15"/>
  </w:num>
  <w:num w:numId="29">
    <w:abstractNumId w:val="8"/>
  </w:num>
  <w:num w:numId="30">
    <w:abstractNumId w:val="0"/>
  </w:num>
  <w:num w:numId="31">
    <w:abstractNumId w:val="22"/>
  </w:num>
  <w:num w:numId="32">
    <w:abstractNumId w:val="34"/>
  </w:num>
  <w:num w:numId="33">
    <w:abstractNumId w:val="20"/>
  </w:num>
  <w:num w:numId="34">
    <w:abstractNumId w:val="29"/>
  </w:num>
  <w:num w:numId="35">
    <w:abstractNumId w:val="10"/>
  </w:num>
  <w:num w:numId="36">
    <w:abstractNumId w:val="30"/>
  </w:num>
  <w:num w:numId="37">
    <w:abstractNumId w:val="1"/>
  </w:num>
  <w:num w:numId="38">
    <w:abstractNumId w:val="18"/>
  </w:num>
  <w:num w:numId="39">
    <w:abstractNumId w:val="40"/>
  </w:num>
  <w:num w:numId="40">
    <w:abstractNumId w:val="41"/>
  </w:num>
  <w:num w:numId="41">
    <w:abstractNumId w:val="5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277"/>
    <w:rsid w:val="00030BB8"/>
    <w:rsid w:val="00037565"/>
    <w:rsid w:val="000B231B"/>
    <w:rsid w:val="000C586C"/>
    <w:rsid w:val="000D0A3A"/>
    <w:rsid w:val="000D112E"/>
    <w:rsid w:val="000F1714"/>
    <w:rsid w:val="00110799"/>
    <w:rsid w:val="00166866"/>
    <w:rsid w:val="00180CD0"/>
    <w:rsid w:val="001873AC"/>
    <w:rsid w:val="001D5B6B"/>
    <w:rsid w:val="00202208"/>
    <w:rsid w:val="002145F7"/>
    <w:rsid w:val="0022452C"/>
    <w:rsid w:val="002249C0"/>
    <w:rsid w:val="002314EA"/>
    <w:rsid w:val="0024450E"/>
    <w:rsid w:val="00245292"/>
    <w:rsid w:val="00270933"/>
    <w:rsid w:val="00276068"/>
    <w:rsid w:val="0029123F"/>
    <w:rsid w:val="00296013"/>
    <w:rsid w:val="002A5FDC"/>
    <w:rsid w:val="002C04CA"/>
    <w:rsid w:val="002C6DAF"/>
    <w:rsid w:val="00324B49"/>
    <w:rsid w:val="0037394F"/>
    <w:rsid w:val="003767D9"/>
    <w:rsid w:val="00385235"/>
    <w:rsid w:val="00385793"/>
    <w:rsid w:val="00396D86"/>
    <w:rsid w:val="003B04E7"/>
    <w:rsid w:val="003D09E4"/>
    <w:rsid w:val="00433466"/>
    <w:rsid w:val="00440253"/>
    <w:rsid w:val="00465FF8"/>
    <w:rsid w:val="004825D0"/>
    <w:rsid w:val="00497F62"/>
    <w:rsid w:val="004A2E8F"/>
    <w:rsid w:val="004B1AA1"/>
    <w:rsid w:val="004B420D"/>
    <w:rsid w:val="004C7B96"/>
    <w:rsid w:val="004C7F47"/>
    <w:rsid w:val="004E0266"/>
    <w:rsid w:val="0050331E"/>
    <w:rsid w:val="00510228"/>
    <w:rsid w:val="00511268"/>
    <w:rsid w:val="005146F6"/>
    <w:rsid w:val="00536975"/>
    <w:rsid w:val="00553DA2"/>
    <w:rsid w:val="00591723"/>
    <w:rsid w:val="0059179F"/>
    <w:rsid w:val="00596406"/>
    <w:rsid w:val="005B2A20"/>
    <w:rsid w:val="005B4EBB"/>
    <w:rsid w:val="005C6E14"/>
    <w:rsid w:val="00603FA6"/>
    <w:rsid w:val="00610923"/>
    <w:rsid w:val="0064755F"/>
    <w:rsid w:val="0067482B"/>
    <w:rsid w:val="00686FFB"/>
    <w:rsid w:val="006B353D"/>
    <w:rsid w:val="006D362C"/>
    <w:rsid w:val="006D41A5"/>
    <w:rsid w:val="006D6662"/>
    <w:rsid w:val="006E3123"/>
    <w:rsid w:val="006E7416"/>
    <w:rsid w:val="00706F70"/>
    <w:rsid w:val="007356A8"/>
    <w:rsid w:val="00752CE5"/>
    <w:rsid w:val="00780D6D"/>
    <w:rsid w:val="007836A8"/>
    <w:rsid w:val="00792018"/>
    <w:rsid w:val="00811571"/>
    <w:rsid w:val="00822413"/>
    <w:rsid w:val="0084555C"/>
    <w:rsid w:val="00862CC2"/>
    <w:rsid w:val="00870CFA"/>
    <w:rsid w:val="008D739F"/>
    <w:rsid w:val="008E3C21"/>
    <w:rsid w:val="008F3611"/>
    <w:rsid w:val="00941E55"/>
    <w:rsid w:val="00984AFE"/>
    <w:rsid w:val="009B4B03"/>
    <w:rsid w:val="00A33C8B"/>
    <w:rsid w:val="00A43CFB"/>
    <w:rsid w:val="00A57056"/>
    <w:rsid w:val="00A6168B"/>
    <w:rsid w:val="00A63A93"/>
    <w:rsid w:val="00A664D1"/>
    <w:rsid w:val="00A66ED5"/>
    <w:rsid w:val="00A85671"/>
    <w:rsid w:val="00AB4917"/>
    <w:rsid w:val="00AC6E03"/>
    <w:rsid w:val="00AD76C2"/>
    <w:rsid w:val="00AE65A9"/>
    <w:rsid w:val="00B0274D"/>
    <w:rsid w:val="00B23A05"/>
    <w:rsid w:val="00B274FC"/>
    <w:rsid w:val="00B34490"/>
    <w:rsid w:val="00B438FC"/>
    <w:rsid w:val="00B50919"/>
    <w:rsid w:val="00B511B8"/>
    <w:rsid w:val="00B535DD"/>
    <w:rsid w:val="00B56D8D"/>
    <w:rsid w:val="00B71065"/>
    <w:rsid w:val="00B82A6F"/>
    <w:rsid w:val="00BA0D8F"/>
    <w:rsid w:val="00BA5A2B"/>
    <w:rsid w:val="00BB5D53"/>
    <w:rsid w:val="00BC3EAE"/>
    <w:rsid w:val="00BE4DF9"/>
    <w:rsid w:val="00C11288"/>
    <w:rsid w:val="00C256B7"/>
    <w:rsid w:val="00C30CB3"/>
    <w:rsid w:val="00C54801"/>
    <w:rsid w:val="00C71312"/>
    <w:rsid w:val="00C8497B"/>
    <w:rsid w:val="00CB62AB"/>
    <w:rsid w:val="00CD0094"/>
    <w:rsid w:val="00CD0BBB"/>
    <w:rsid w:val="00CD3054"/>
    <w:rsid w:val="00D319D6"/>
    <w:rsid w:val="00D51A52"/>
    <w:rsid w:val="00D8200B"/>
    <w:rsid w:val="00D8415F"/>
    <w:rsid w:val="00D92604"/>
    <w:rsid w:val="00DD55E1"/>
    <w:rsid w:val="00DD6C95"/>
    <w:rsid w:val="00DE7CD9"/>
    <w:rsid w:val="00E36A02"/>
    <w:rsid w:val="00E4301D"/>
    <w:rsid w:val="00E53120"/>
    <w:rsid w:val="00E64654"/>
    <w:rsid w:val="00E67C72"/>
    <w:rsid w:val="00E70213"/>
    <w:rsid w:val="00EC3A5B"/>
    <w:rsid w:val="00ED13AC"/>
    <w:rsid w:val="00EE6162"/>
    <w:rsid w:val="00F06970"/>
    <w:rsid w:val="00F242DC"/>
    <w:rsid w:val="00F3030C"/>
    <w:rsid w:val="00F51084"/>
    <w:rsid w:val="00F55848"/>
    <w:rsid w:val="00FB25FB"/>
    <w:rsid w:val="00FC4E19"/>
    <w:rsid w:val="00FF0F3B"/>
    <w:rsid w:val="00FF2F56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3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19</cp:revision>
  <dcterms:created xsi:type="dcterms:W3CDTF">2013-11-27T09:32:00Z</dcterms:created>
  <dcterms:modified xsi:type="dcterms:W3CDTF">2014-01-20T09:26:00Z</dcterms:modified>
</cp:coreProperties>
</file>